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7ca70dca9b46e4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32980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OPĆINA NOVA BUKOVICA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22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990.806,51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1.140.105,13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115,1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871.822,67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919.006,03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105,4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118.983,84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221.099,10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185,8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299.057,69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124.709,96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299.057,69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124.709,96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41,7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5.737,98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197.441,90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3441,0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74.656,59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194.818,79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261,0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PRIMITAKA OD FINANCIJSKE IMOVINE I ZADUŽIVANJA (šifre 8-5)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2.623,11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99.012,25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Ukupni prihodi poslovanja u 2025. godini veći su za 99.012,25 eura u odnosu na rashode, na povećanje Prihoda je najvećim djelom utjecalo povećanje doprinosa za šume, refundacija troška za izbore, poreza na promet nekretnina, poreza na nekretnine i tekućih i kapitalnih pomoći proračunu i kratkoročno kreditno zaduženje.  Na rashode je najvećim djelom utjecalo povećanje naknade za rad povjerenstava na izborima (predsjednički i lokalni),  prijenosi proračunskom korisniku (dječji vrtić) i tekuće donacije. Ukupni izdaci za financijsku imovinu i otplate zajmova odnose se na otplatu dugoročnog kredita i  kratkoročnog kredita  - dozvoljenog prekoračenja po poslovnom računu.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Stalni porezi na nepokretnu imovinu (zemlju, zgrade, kuće i ostalo)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2.205,68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735,2</w:t>
            </w:r>
          </w:p>
        </w:tc>
      </w:tr>
    </w:tbl>
    <w:p>
      <w:pPr>
        <w:spacing w:before="0" w:after="0"/>
      </w:pPr>
    </w:p>
    <w:p>
      <w:r>
        <w:t xml:space="preserve">Ostvarenje je veće zbog poreza na nekretnine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proračunu i izvanproračunskim korisnicima iz drugih proračuna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337.695,65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433.815,68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128,5</w:t>
            </w:r>
          </w:p>
        </w:tc>
      </w:tr>
    </w:tbl>
    <w:p>
      <w:pPr>
        <w:spacing w:before="0" w:after="0"/>
      </w:pPr>
    </w:p>
    <w:p>
      <w:r>
        <w:t xml:space="preserve">Sredstva fiskalnih izravnanja i Fiskalna održivost dječjih vrtića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Kapitalne pomoći proračunu i izvanproračunskim korisnicima iz drugih proračuna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138.600,34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134.517,57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97,1</w:t>
            </w:r>
          </w:p>
        </w:tc>
      </w:tr>
    </w:tbl>
    <w:p>
      <w:pPr>
        <w:spacing w:before="0" w:after="0"/>
      </w:pPr>
    </w:p>
    <w:p>
      <w:r>
        <w:t xml:space="preserve">Izgradnja pješačko biciklističke staze Nova Bukovica-Brezik-Miljevci - faza I- 49.000,00 MRRFEU</w:t>
      </w:r>
    </w:p>
    <w:p>
      <w:r>
        <w:t xml:space="preserve">pomoć za ublažavanje posljedica prirodne nepogode suše za 2024. godinu - 45.593,06 Ministarstvo poljoprivrede</w:t>
      </w:r>
    </w:p>
    <w:p>
      <w:r>
        <w:t xml:space="preserve">Projekt - vrtić za radosnu budućnost djece - 39.924,51 Ministarstvo demografije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od izvanproračunskih korisnika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5.990,54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6.998,71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116,8</w:t>
            </w:r>
          </w:p>
        </w:tc>
      </w:tr>
    </w:tbl>
    <w:p>
      <w:pPr>
        <w:spacing w:before="0" w:after="0"/>
      </w:pPr>
    </w:p>
    <w:p>
      <w:r>
        <w:t xml:space="preserve">HZZ - Sredstva za javne radove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zakupa i iznajmljivanja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167.333,14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98.776,11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59,0</w:t>
            </w:r>
          </w:p>
        </w:tc>
      </w:tr>
    </w:tbl>
    <w:p>
      <w:pPr>
        <w:spacing w:before="0" w:after="0"/>
      </w:pPr>
    </w:p>
    <w:p>
      <w:r>
        <w:t xml:space="preserve">Zakup poljoprivrednog zemljišta, iznajmljivanje domova i zakup poslovnih prostora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Naknada za korištenje nefinancijske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9.880,02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9.880,08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100,0</w:t>
            </w:r>
          </w:p>
        </w:tc>
      </w:tr>
    </w:tbl>
    <w:p>
      <w:pPr>
        <w:spacing w:before="0" w:after="0"/>
      </w:pPr>
    </w:p>
    <w:p>
      <w:r>
        <w:t xml:space="preserve">Pravo služnosti Hrvatski telekom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Doprinosi za šume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25.568,61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166.427,49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650,9</w:t>
            </w:r>
          </w:p>
        </w:tc>
      </w:tr>
    </w:tbl>
    <w:p>
      <w:pPr>
        <w:spacing w:before="0" w:after="0"/>
      </w:pPr>
    </w:p>
    <w:p>
      <w:r>
        <w:t xml:space="preserve">Prihodi od šumskog doprinosa veći su, a povećanje se odnosi na povećane uplate Hrvatskih šuma i TRAKO-AGROLUDBREG d.o.o. koji je uplatio i neplaćeni iznos za 2023. i 2024. godinu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prihodi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15.282,86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25.960,96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169,9</w:t>
            </w:r>
          </w:p>
        </w:tc>
      </w:tr>
    </w:tbl>
    <w:p>
      <w:pPr>
        <w:spacing w:before="0" w:after="0"/>
      </w:pPr>
    </w:p>
    <w:p>
      <w:r>
        <w:t xml:space="preserve">Povećanje se odnosi na uplatu (refundaciju) naknade za provedbu izbora koje 2024. godine nije bilo,  grobne naknade, povrat stipendije, stambeno zbrinjavanje mladih obitelji (Ministarstvo poljoprivrede)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177.168,94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180.391,50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101,8</w:t>
            </w:r>
          </w:p>
        </w:tc>
      </w:tr>
    </w:tbl>
    <w:p>
      <w:pPr>
        <w:spacing w:before="0" w:after="0"/>
      </w:pPr>
    </w:p>
    <w:p>
      <w:r>
        <w:t xml:space="preserve">Iznos je veći zbog povećanja osnovice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za prijevoz, za rad na terenu i odvojeni život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1.147,85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832,64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72,5</w:t>
            </w:r>
          </w:p>
        </w:tc>
      </w:tr>
    </w:tbl>
    <w:p>
      <w:pPr>
        <w:spacing w:before="0" w:after="0"/>
      </w:pPr>
    </w:p>
    <w:p>
      <w:r>
        <w:t xml:space="preserve">Iznos je  manji jer je jedan djelatnik bio 3 mjeseca na bolovanju pa nije isplaćivan putni trošak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Uredski materijal i ostali materijalni rashodi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13.118,97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42.622,56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324,9</w:t>
            </w:r>
          </w:p>
        </w:tc>
      </w:tr>
    </w:tbl>
    <w:p>
      <w:pPr>
        <w:spacing w:before="0" w:after="0"/>
      </w:pPr>
    </w:p>
    <w:p>
      <w:r>
        <w:t xml:space="preserve">Bilo je manje korištenja privatnih automobila u službene svrhe u odnosu na prošlu godinu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dijelovi za tekuće i investicijsko održavanje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165.437,18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15.757,87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9,5</w:t>
            </w:r>
          </w:p>
        </w:tc>
      </w:tr>
    </w:tbl>
    <w:p>
      <w:pPr>
        <w:spacing w:before="0" w:after="0"/>
      </w:pPr>
    </w:p>
    <w:p>
      <w:r>
        <w:t xml:space="preserve">Iznosu u 2024. godini je veći iz razloga što se radilo na održavanju groblja i mrtvačnice u Novoj Bukovici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Sitni inventar i autogume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6.492,90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703,00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10,8</w:t>
            </w:r>
          </w:p>
        </w:tc>
      </w:tr>
    </w:tbl>
    <w:p>
      <w:pPr>
        <w:spacing w:before="0" w:after="0"/>
      </w:pPr>
    </w:p>
    <w:p>
      <w:r>
        <w:t xml:space="preserve">U 2024. godini su kupljeni telefoni i mobiteli za potrebe jedinstvenog upravnog odjela i načelnika i klima uređaj za dom u Breziku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za rad predstavničkih i izvršnih tijela, povjerenstava i slično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25.536,80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48.412,15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189,6</w:t>
            </w:r>
          </w:p>
        </w:tc>
      </w:tr>
    </w:tbl>
    <w:p>
      <w:pPr>
        <w:spacing w:before="0" w:after="0"/>
      </w:pPr>
    </w:p>
    <w:p>
      <w:r>
        <w:t xml:space="preserve">Povećanje se odnosi na isplatu biračkih odbora za predsjednički i povjerenstava i biračkih odbora za lokalne izbore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Članarine i norme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657,90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2.526,32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384,0</w:t>
            </w:r>
          </w:p>
        </w:tc>
      </w:tr>
    </w:tbl>
    <w:p>
      <w:pPr>
        <w:spacing w:before="0" w:after="0"/>
      </w:pPr>
    </w:p>
    <w:p>
      <w:r>
        <w:t xml:space="preserve">U 2025. godini osim članarine udruzi općina plaćena je i članarina od 2.000,00 Institutu za promociju znanosti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Subvencije trgovačkim društvima u javnom sektoru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3.909,78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20.223,43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517,3</w:t>
            </w:r>
          </w:p>
        </w:tc>
      </w:tr>
    </w:tbl>
    <w:p>
      <w:pPr>
        <w:spacing w:before="0" w:after="0"/>
      </w:pPr>
    </w:p>
    <w:p>
      <w:r>
        <w:t xml:space="preserve">Odnosi se na sufinanciranje dijela troška trgovačkom društvu u vlasništvu Općine Nova Bukovica i  nekoliko susjednih općina a sukladno odluci skupštine društva Elkomnet d.o.o., a koji se napretkom radova na izgradnji širokopojasnog interneta povećao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Subvencije trgovačkim društvima i zadrugama izvan javnog sektora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37.602,36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 2025 godini nije bilo sufinanciranja boravka djece u privatnom dječjem vrtiću  jer je naš vrtić počeo s radom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proračunskim korisnicima drugih proračuna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2.687,70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 2025 godini nije bilo sufinanciranja boravka djece u dječjem vrtiću na području druge JLS jer je naš vrtić počeo s radom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Prijenosi proračunskim korisnicima iz nadležnog proračuna za financiranje rashoda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46.506,40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186.080,78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400,1</w:t>
            </w:r>
          </w:p>
        </w:tc>
      </w:tr>
    </w:tbl>
    <w:p>
      <w:pPr>
        <w:spacing w:before="0" w:after="0"/>
      </w:pPr>
    </w:p>
    <w:p>
      <w:r>
        <w:t xml:space="preserve">Odnosi se na prijenos Dječjem vrtiću koji je  prošle godine počeo s radom u jesen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građanima i kućanstvima u novcu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26.804,79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39.642,90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147,9</w:t>
            </w:r>
          </w:p>
        </w:tc>
      </w:tr>
    </w:tbl>
    <w:p>
      <w:pPr>
        <w:spacing w:before="0" w:after="0"/>
      </w:pPr>
    </w:p>
    <w:p>
      <w:r>
        <w:t xml:space="preserve">Više izdvojeno za pomoći obiteljima i kućanstvima, stipendije, oprema novorođenčadi, troškovi stanovanje djece u učeničkih domovima, uskrsnice i božićnice Umirovljenicima  i stambeno zbrinjavanje mladih obitelji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građanima i kućanstvima u naravi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7.006,57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6.684,27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95,4</w:t>
            </w:r>
          </w:p>
        </w:tc>
      </w:tr>
    </w:tbl>
    <w:p>
      <w:pPr>
        <w:spacing w:before="0" w:after="0"/>
      </w:pPr>
    </w:p>
    <w:p>
      <w:r>
        <w:t xml:space="preserve">Odnosi se na nabavu radnih bilježnica učenicima OŠ i darova djeci za Sv. Nikolu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donacije u novcu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141.832,35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112.786,75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79,5</w:t>
            </w:r>
          </w:p>
        </w:tc>
      </w:tr>
    </w:tbl>
    <w:p>
      <w:pPr>
        <w:spacing w:before="0" w:after="0"/>
      </w:pPr>
    </w:p>
    <w:p>
      <w:r>
        <w:t xml:space="preserve">U izvještajnom razdoblju isplaćeno je više tekućih donacija udrugama, vjerskim zajednicama i političkim strankama u odnosu na prethodnu godinu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šteta pravnim i fizičkim osobama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45.593,06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pomoć za ublažavanje posljedica prirodne nepogode suše za 2024. godinu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Ceste, željeznice i ostali prometni objekti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120.328,76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&gt;&gt;100</w:t>
            </w:r>
          </w:p>
        </w:tc>
      </w:tr>
    </w:tbl>
    <w:p>
      <w:pPr>
        <w:spacing w:before="0" w:after="0"/>
      </w:pPr>
    </w:p>
    <w:p>
      <w:r>
        <w:t xml:space="preserve">Izgradnja pješačko bicilističke staze Nova Bukovica-Brezik-Miljevci - faza I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Prijevozna sredstva u cestovnom prometu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3.240,00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višenamjenski stroj H RIDER 112C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zaduživanja (šifre 841+842+843+844+845+847)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5.737,98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197.441,90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3441,0</w:t>
            </w:r>
          </w:p>
        </w:tc>
      </w:tr>
    </w:tbl>
    <w:p>
      <w:pPr>
        <w:spacing w:before="0" w:after="0"/>
      </w:pPr>
    </w:p>
    <w:p>
      <w:r>
        <w:t xml:space="preserve">Realiziran je kratkoročni kredit - dozvoljeno prekoračenje po poslovnom računu, na rok od 12 mjeseci, radi premošćivanja jaza nastalog zbog različite dinamike priljeva sredstva i dospijeća obveza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74.656,59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194.818,79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261,0</w:t>
            </w:r>
          </w:p>
        </w:tc>
      </w:tr>
    </w:tbl>
    <w:p>
      <w:pPr>
        <w:spacing w:before="0" w:after="0"/>
      </w:pPr>
    </w:p>
    <w:p>
      <w:r>
        <w:t xml:space="preserve">Plaćene su 4 rate dugoročnog kredita</w:t>
      </w:r>
    </w:p>
    <w:p>
      <w:r>
        <w:t xml:space="preserve">kratkoročni kredit - dozvoljeno prekoračenje po poslovnom računu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Otplata glavnice primljenih kredita od tuzemnih kreditnih institucija izvan javnog sektora – kratkoročnih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95.276,67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dozvoljeni minus po poslovnom računu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54432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Otplata glavnice primljenih kredita od tuzemnih kreditnih institucija izvan javnog sektora – dugoročnih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54432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74.656,59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99.542,12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133,3</w:t>
            </w:r>
          </w:p>
        </w:tc>
      </w:tr>
    </w:tbl>
    <w:p>
      <w:pPr>
        <w:spacing w:before="0" w:after="0"/>
      </w:pPr>
    </w:p>
    <w:p>
      <w:r>
        <w:t xml:space="preserve">dugoročni kredit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Nema dospjelih obveza na dan 31.12.2025. godine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4517f0f8e5e54ec9" /></Relationships>
</file>